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textAlignment w:val="auto"/>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eastAsia="zh-CN"/>
        </w:rPr>
        <w:t>附件</w:t>
      </w:r>
      <w:r>
        <w:rPr>
          <w:rFonts w:hint="eastAsia" w:ascii="仿宋_GB2312" w:hAnsi="仿宋_GB2312" w:eastAsia="仿宋_GB2312" w:cs="仿宋_GB2312"/>
          <w:b/>
          <w:bCs/>
          <w:color w:val="000000"/>
          <w:sz w:val="32"/>
          <w:szCs w:val="32"/>
          <w:lang w:val="en-US" w:eastAsia="zh-CN"/>
        </w:rPr>
        <w:t>1</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bookmarkStart w:id="0" w:name="_GoBack"/>
      <w:r>
        <w:rPr>
          <w:rFonts w:hint="eastAsia" w:ascii="方正小标宋简体" w:hAnsi="方正小标宋简体" w:eastAsia="方正小标宋简体" w:cs="方正小标宋简体"/>
          <w:b w:val="0"/>
          <w:bCs w:val="0"/>
          <w:color w:val="000000"/>
          <w:sz w:val="44"/>
          <w:szCs w:val="44"/>
          <w:lang w:val="en-US" w:eastAsia="zh-CN"/>
        </w:rPr>
        <w:t>黄石市城区保障房实物配租操作指引</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黄石市城区公共租赁住房和保障性租赁住房实物配租按下列指引执行。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一、配租对象</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方正楷体_GBK" w:hAnsi="方正楷体_GBK" w:eastAsia="方正楷体_GBK" w:cs="方正楷体_GBK"/>
          <w:b w:val="0"/>
          <w:bCs w:val="0"/>
          <w:color w:val="000000"/>
          <w:kern w:val="0"/>
          <w:sz w:val="32"/>
          <w:szCs w:val="32"/>
          <w:lang w:val="en" w:eastAsia="zh-CN"/>
        </w:rPr>
        <w:t>（</w:t>
      </w:r>
      <w:r>
        <w:rPr>
          <w:rFonts w:hint="eastAsia" w:ascii="方正楷体_GBK" w:hAnsi="方正楷体_GBK" w:eastAsia="方正楷体_GBK" w:cs="方正楷体_GBK"/>
          <w:b w:val="0"/>
          <w:bCs w:val="0"/>
          <w:color w:val="000000"/>
          <w:kern w:val="0"/>
          <w:sz w:val="32"/>
          <w:szCs w:val="32"/>
          <w:lang w:val="en-US" w:eastAsia="zh-CN"/>
        </w:rPr>
        <w:t>一</w:t>
      </w:r>
      <w:r>
        <w:rPr>
          <w:rFonts w:hint="eastAsia" w:ascii="方正楷体_GBK" w:hAnsi="方正楷体_GBK" w:eastAsia="方正楷体_GBK" w:cs="方正楷体_GBK"/>
          <w:b w:val="0"/>
          <w:bCs w:val="0"/>
          <w:color w:val="000000"/>
          <w:kern w:val="0"/>
          <w:sz w:val="32"/>
          <w:szCs w:val="32"/>
          <w:lang w:val="en" w:eastAsia="zh-CN"/>
        </w:rPr>
        <w:t>）公共租赁住房实物配租对象包括：</w:t>
      </w:r>
      <w:r>
        <w:rPr>
          <w:rFonts w:hint="eastAsia" w:ascii="仿宋_GB2312" w:hAnsi="仿宋_GB2312" w:eastAsia="仿宋_GB2312" w:cs="仿宋_GB2312"/>
          <w:color w:val="000000"/>
          <w:kern w:val="0"/>
          <w:sz w:val="32"/>
          <w:szCs w:val="32"/>
        </w:rPr>
        <w:t>在我市城区内无自有住房</w:t>
      </w:r>
      <w:r>
        <w:rPr>
          <w:rFonts w:hint="eastAsia" w:ascii="仿宋_GB2312" w:hAnsi="仿宋_GB2312" w:eastAsia="仿宋_GB2312" w:cs="仿宋_GB2312"/>
          <w:color w:val="000000"/>
          <w:kern w:val="0"/>
          <w:sz w:val="32"/>
          <w:szCs w:val="32"/>
          <w:lang w:eastAsia="zh-CN"/>
        </w:rPr>
        <w:t>（含城区唯一自有住房属</w:t>
      </w:r>
      <w:r>
        <w:rPr>
          <w:rFonts w:hint="eastAsia" w:ascii="仿宋_GB2312" w:hAnsi="仿宋_GB2312" w:eastAsia="仿宋_GB2312" w:cs="仿宋_GB2312"/>
          <w:color w:val="000000"/>
          <w:kern w:val="0"/>
          <w:sz w:val="32"/>
          <w:szCs w:val="32"/>
          <w:lang w:val="en-US" w:eastAsia="zh-CN"/>
        </w:rPr>
        <w:t>C、D级危房且无法居住</w:t>
      </w:r>
      <w:r>
        <w:rPr>
          <w:rFonts w:hint="eastAsia" w:ascii="仿宋_GB2312" w:hAnsi="仿宋_GB2312" w:eastAsia="仿宋_GB2312" w:cs="仿宋_GB2312"/>
          <w:color w:val="000000"/>
          <w:kern w:val="0"/>
          <w:sz w:val="32"/>
          <w:szCs w:val="32"/>
          <w:lang w:eastAsia="zh-CN"/>
        </w:rPr>
        <w:t>），在市场租赁住房、并交纳租金，且租赁期限满一年的城市</w:t>
      </w:r>
      <w:r>
        <w:rPr>
          <w:rFonts w:hint="eastAsia" w:ascii="仿宋_GB2312" w:hAnsi="仿宋_GB2312" w:eastAsia="仿宋_GB2312" w:cs="仿宋_GB2312"/>
          <w:color w:val="000000"/>
          <w:kern w:val="0"/>
          <w:sz w:val="32"/>
          <w:szCs w:val="32"/>
          <w:lang w:val="en-US" w:eastAsia="zh-CN"/>
        </w:rPr>
        <w:t>最低生活保障</w:t>
      </w:r>
      <w:r>
        <w:rPr>
          <w:rFonts w:hint="eastAsia" w:ascii="仿宋_GB2312" w:hAnsi="仿宋_GB2312" w:eastAsia="仿宋_GB2312" w:cs="仿宋_GB2312"/>
          <w:color w:val="000000"/>
          <w:kern w:val="0"/>
          <w:sz w:val="32"/>
          <w:szCs w:val="32"/>
          <w:lang w:eastAsia="zh-CN"/>
        </w:rPr>
        <w:t>家庭、低保边缘家庭、重点优抚对象</w:t>
      </w:r>
      <w:r>
        <w:rPr>
          <w:rFonts w:hint="eastAsia" w:ascii="仿宋_GB2312" w:hAnsi="仿宋_GB2312" w:eastAsia="仿宋_GB2312" w:cs="仿宋_GB2312"/>
          <w:color w:val="000000"/>
          <w:kern w:val="0"/>
          <w:sz w:val="32"/>
          <w:szCs w:val="32"/>
        </w:rPr>
        <w:t>（享受国家定期抚恤补助的优抚对象</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sz w:val="32"/>
          <w:szCs w:val="32"/>
          <w:lang w:val="en-US" w:eastAsia="zh-CN"/>
        </w:rPr>
        <w:t>（注：配租放弃的家庭，自放弃日计算两年内不得再次申请。）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lang w:val="en-US" w:eastAsia="zh-CN"/>
        </w:rPr>
      </w:pPr>
      <w:r>
        <w:rPr>
          <w:rFonts w:hint="eastAsia" w:ascii="方正楷体_GBK" w:hAnsi="方正楷体_GBK" w:eastAsia="方正楷体_GBK" w:cs="方正楷体_GBK"/>
          <w:b w:val="0"/>
          <w:bCs w:val="0"/>
          <w:color w:val="000000"/>
          <w:kern w:val="0"/>
          <w:sz w:val="32"/>
          <w:szCs w:val="32"/>
          <w:lang w:val="en-US" w:eastAsia="zh-CN" w:bidi="ar-SA"/>
        </w:rPr>
        <w:t xml:space="preserve">   </w:t>
      </w:r>
      <w:r>
        <w:rPr>
          <w:rFonts w:hint="eastAsia" w:ascii="方正楷体_GBK" w:hAnsi="方正楷体_GBK" w:eastAsia="方正楷体_GBK" w:cs="方正楷体_GBK"/>
          <w:b w:val="0"/>
          <w:bCs w:val="0"/>
          <w:color w:val="000000"/>
          <w:kern w:val="0"/>
          <w:sz w:val="32"/>
          <w:szCs w:val="32"/>
          <w:lang w:val="en" w:eastAsia="zh-CN" w:bidi="ar-SA"/>
        </w:rPr>
        <w:t>（</w:t>
      </w:r>
      <w:r>
        <w:rPr>
          <w:rFonts w:hint="eastAsia" w:ascii="方正楷体_GBK" w:hAnsi="方正楷体_GBK" w:eastAsia="方正楷体_GBK" w:cs="方正楷体_GBK"/>
          <w:b w:val="0"/>
          <w:bCs w:val="0"/>
          <w:color w:val="000000"/>
          <w:kern w:val="0"/>
          <w:sz w:val="32"/>
          <w:szCs w:val="32"/>
          <w:lang w:val="en-US" w:eastAsia="zh-CN" w:bidi="ar-SA"/>
        </w:rPr>
        <w:t>二</w:t>
      </w:r>
      <w:r>
        <w:rPr>
          <w:rFonts w:hint="eastAsia" w:ascii="方正楷体_GBK" w:hAnsi="方正楷体_GBK" w:eastAsia="方正楷体_GBK" w:cs="方正楷体_GBK"/>
          <w:b w:val="0"/>
          <w:bCs w:val="0"/>
          <w:color w:val="000000"/>
          <w:kern w:val="0"/>
          <w:sz w:val="32"/>
          <w:szCs w:val="32"/>
          <w:lang w:val="en" w:eastAsia="zh-CN" w:bidi="ar-SA"/>
        </w:rPr>
        <w:t>）保障性租赁住房实物配租对象包括：</w:t>
      </w:r>
      <w:r>
        <w:rPr>
          <w:rFonts w:hint="eastAsia" w:ascii="仿宋_GB2312" w:hAnsi="仿宋_GB2312" w:eastAsia="仿宋_GB2312" w:cs="仿宋_GB2312"/>
          <w:color w:val="000000"/>
          <w:kern w:val="0"/>
          <w:sz w:val="32"/>
          <w:szCs w:val="32"/>
          <w:lang w:val="en-US" w:eastAsia="zh-CN"/>
        </w:rPr>
        <w:t>1.在</w:t>
      </w:r>
      <w:r>
        <w:rPr>
          <w:rFonts w:hint="eastAsia" w:ascii="仿宋_GB2312" w:hAnsi="仿宋_GB2312" w:eastAsia="仿宋_GB2312" w:cs="仿宋_GB2312"/>
          <w:color w:val="000000"/>
          <w:kern w:val="0"/>
          <w:sz w:val="32"/>
          <w:szCs w:val="32"/>
          <w:lang w:eastAsia="zh-CN"/>
        </w:rPr>
        <w:t>我市城区无自有住房的，符合“新黄石人”</w:t>
      </w:r>
      <w:r>
        <w:rPr>
          <w:rFonts w:hint="eastAsia" w:ascii="仿宋_GB2312" w:hAnsi="仿宋_GB2312" w:eastAsia="仿宋_GB2312" w:cs="仿宋_GB2312"/>
          <w:color w:val="000000"/>
          <w:sz w:val="32"/>
          <w:szCs w:val="32"/>
          <w:lang w:eastAsia="zh-CN"/>
        </w:rPr>
        <w:t>（以人社</w:t>
      </w:r>
      <w:r>
        <w:rPr>
          <w:rFonts w:hint="eastAsia" w:ascii="仿宋_GB2312" w:hAnsi="仿宋_GB2312" w:eastAsia="仿宋_GB2312" w:cs="仿宋_GB2312"/>
          <w:color w:val="000000"/>
          <w:sz w:val="32"/>
          <w:szCs w:val="32"/>
          <w:lang w:val="en-US" w:eastAsia="zh-CN"/>
        </w:rPr>
        <w:t>部门</w:t>
      </w:r>
      <w:r>
        <w:rPr>
          <w:rFonts w:hint="eastAsia" w:ascii="仿宋_GB2312" w:hAnsi="仿宋_GB2312" w:eastAsia="仿宋_GB2312" w:cs="仿宋_GB2312"/>
          <w:color w:val="000000"/>
          <w:sz w:val="32"/>
          <w:szCs w:val="32"/>
          <w:lang w:eastAsia="zh-CN"/>
        </w:rPr>
        <w:t>认定为准）</w:t>
      </w:r>
      <w:r>
        <w:rPr>
          <w:rFonts w:hint="eastAsia" w:ascii="仿宋_GB2312" w:hAnsi="仿宋_GB2312" w:eastAsia="仿宋_GB2312" w:cs="仿宋_GB2312"/>
          <w:color w:val="000000"/>
          <w:kern w:val="0"/>
          <w:sz w:val="32"/>
          <w:szCs w:val="32"/>
          <w:lang w:eastAsia="zh-CN"/>
        </w:rPr>
        <w:t>条件的群体可申请保障性租赁住房配租；</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lang w:eastAsia="zh-CN"/>
        </w:rPr>
        <w:t>符合“公服人员”、“市退役军人”、“优秀民兵”和危旧房改造保障条件的群体，可通过“长期租赁”</w:t>
      </w:r>
      <w:r>
        <w:rPr>
          <w:rFonts w:hint="eastAsia" w:ascii="仿宋_GB2312" w:hAnsi="仿宋_GB2312" w:eastAsia="仿宋_GB2312" w:cs="仿宋_GB2312"/>
          <w:color w:val="auto"/>
          <w:kern w:val="0"/>
          <w:sz w:val="32"/>
          <w:szCs w:val="32"/>
          <w:lang w:eastAsia="zh-CN"/>
        </w:rPr>
        <w:t>或“先租后购”</w:t>
      </w:r>
      <w:r>
        <w:rPr>
          <w:rFonts w:hint="eastAsia" w:ascii="仿宋_GB2312" w:hAnsi="仿宋_GB2312" w:eastAsia="仿宋_GB2312" w:cs="仿宋_GB2312"/>
          <w:color w:val="000000"/>
          <w:kern w:val="0"/>
          <w:sz w:val="32"/>
          <w:szCs w:val="32"/>
          <w:lang w:eastAsia="zh-CN"/>
        </w:rPr>
        <w:t>方式，申请保障性租赁住房</w:t>
      </w:r>
      <w:r>
        <w:rPr>
          <w:rFonts w:hint="eastAsia" w:ascii="仿宋_GB2312" w:hAnsi="仿宋_GB2312" w:eastAsia="仿宋_GB2312" w:cs="仿宋_GB2312"/>
          <w:color w:val="000000"/>
          <w:kern w:val="0"/>
          <w:sz w:val="32"/>
          <w:szCs w:val="32"/>
          <w:lang w:val="en-US" w:eastAsia="zh-CN"/>
        </w:rPr>
        <w:t>配租</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3、其他收入家庭纳入市级危改范围，且是唯一住房的，可安置过渡。</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楷体_GBK" w:hAnsi="方正楷体_GBK" w:eastAsia="方正楷体_GBK" w:cs="方正楷体_GBK"/>
          <w:b w:val="0"/>
          <w:bCs w:val="0"/>
          <w:color w:val="000000"/>
          <w:kern w:val="0"/>
          <w:sz w:val="32"/>
          <w:szCs w:val="32"/>
          <w:lang w:val="en-US" w:eastAsia="zh-CN" w:bidi="ar-SA"/>
        </w:rPr>
      </w:pPr>
      <w:r>
        <w:rPr>
          <w:rFonts w:hint="eastAsia" w:ascii="方正楷体_GBK" w:hAnsi="方正楷体_GBK" w:eastAsia="方正楷体_GBK" w:cs="方正楷体_GBK"/>
          <w:b w:val="0"/>
          <w:bCs w:val="0"/>
          <w:color w:val="000000"/>
          <w:kern w:val="0"/>
          <w:sz w:val="32"/>
          <w:szCs w:val="32"/>
          <w:lang w:val="en-US" w:eastAsia="zh-CN" w:bidi="ar-SA"/>
        </w:rPr>
        <w:t>（三）属下列情形之一，不得申请保障房实物配租：</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
          <w:bCs/>
          <w:color w:val="000000"/>
          <w:kern w:val="0"/>
          <w:sz w:val="32"/>
          <w:szCs w:val="32"/>
          <w:lang w:val="en-US" w:eastAsia="zh-CN" w:bidi="ar-SA"/>
        </w:rPr>
        <w:t>公租房：</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lang w:eastAsia="zh-CN"/>
        </w:rPr>
        <w:t>符合前述配租对象，但</w:t>
      </w:r>
      <w:r>
        <w:rPr>
          <w:rFonts w:hint="eastAsia" w:ascii="仿宋_GB2312" w:hAnsi="仿宋_GB2312" w:eastAsia="仿宋_GB2312" w:cs="仿宋_GB2312"/>
          <w:color w:val="000000"/>
          <w:kern w:val="0"/>
          <w:sz w:val="32"/>
          <w:szCs w:val="32"/>
        </w:rPr>
        <w:t>承租未转换的国有公房</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因离婚</w:t>
      </w:r>
      <w:r>
        <w:rPr>
          <w:rFonts w:hint="eastAsia" w:ascii="仿宋_GB2312" w:hAnsi="仿宋_GB2312" w:eastAsia="仿宋_GB2312" w:cs="仿宋_GB2312"/>
          <w:color w:val="000000"/>
          <w:kern w:val="0"/>
          <w:sz w:val="32"/>
          <w:szCs w:val="32"/>
          <w:lang w:val="en-US" w:eastAsia="zh-CN"/>
        </w:rPr>
        <w:t>造成</w:t>
      </w:r>
      <w:r>
        <w:rPr>
          <w:rFonts w:hint="eastAsia" w:ascii="仿宋_GB2312" w:hAnsi="仿宋_GB2312" w:eastAsia="仿宋_GB2312" w:cs="仿宋_GB2312"/>
          <w:color w:val="000000"/>
          <w:kern w:val="0"/>
          <w:sz w:val="32"/>
          <w:szCs w:val="32"/>
        </w:rPr>
        <w:t>无房未满</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的、</w:t>
      </w:r>
      <w:r>
        <w:rPr>
          <w:rFonts w:hint="eastAsia" w:ascii="仿宋_GB2312" w:hAnsi="仿宋_GB2312" w:eastAsia="仿宋_GB2312" w:cs="仿宋_GB2312"/>
          <w:color w:val="000000"/>
          <w:kern w:val="0"/>
          <w:sz w:val="32"/>
          <w:szCs w:val="32"/>
        </w:rPr>
        <w:t>拥有非住宅</w:t>
      </w:r>
      <w:r>
        <w:rPr>
          <w:rFonts w:hint="eastAsia" w:ascii="仿宋_GB2312" w:hAnsi="仿宋_GB2312" w:eastAsia="仿宋_GB2312" w:cs="仿宋_GB2312"/>
          <w:color w:val="000000"/>
          <w:kern w:val="0"/>
          <w:sz w:val="32"/>
          <w:szCs w:val="32"/>
          <w:lang w:val="en-US" w:eastAsia="zh-CN"/>
        </w:rPr>
        <w:t>不动产、</w:t>
      </w:r>
      <w:r>
        <w:rPr>
          <w:rFonts w:hint="eastAsia" w:ascii="仿宋_GB2312" w:hAnsi="仿宋_GB2312" w:eastAsia="仿宋_GB2312" w:cs="仿宋_GB2312"/>
          <w:color w:val="000000"/>
          <w:kern w:val="0"/>
          <w:sz w:val="32"/>
          <w:szCs w:val="32"/>
          <w:lang w:val="en" w:eastAsia="zh-CN"/>
        </w:rPr>
        <w:t>持有国</w:t>
      </w:r>
      <w:r>
        <w:rPr>
          <w:rFonts w:hint="eastAsia" w:ascii="仿宋_GB2312" w:hAnsi="仿宋_GB2312" w:eastAsia="仿宋_GB2312" w:cs="仿宋_GB2312"/>
          <w:color w:val="000000"/>
          <w:kern w:val="0"/>
          <w:sz w:val="32"/>
          <w:szCs w:val="32"/>
          <w:lang w:val="en-US" w:eastAsia="zh-CN"/>
        </w:rPr>
        <w:t>有</w:t>
      </w:r>
      <w:r>
        <w:rPr>
          <w:rFonts w:hint="eastAsia" w:ascii="仿宋_GB2312" w:hAnsi="仿宋_GB2312" w:eastAsia="仿宋_GB2312" w:cs="仿宋_GB2312"/>
          <w:color w:val="000000"/>
          <w:kern w:val="0"/>
          <w:sz w:val="32"/>
          <w:szCs w:val="32"/>
          <w:lang w:val="en" w:eastAsia="zh-CN"/>
        </w:rPr>
        <w:t>土地使用权证或</w:t>
      </w:r>
      <w:r>
        <w:rPr>
          <w:rFonts w:hint="eastAsia" w:ascii="仿宋_GB2312" w:hAnsi="仿宋_GB2312" w:eastAsia="仿宋_GB2312" w:cs="仿宋_GB2312"/>
          <w:color w:val="000000"/>
          <w:kern w:val="0"/>
          <w:sz w:val="32"/>
          <w:szCs w:val="32"/>
          <w:lang w:val="en-US" w:eastAsia="zh-CN"/>
        </w:rPr>
        <w:t>持有宅基地，且地上有建筑物的、不动产转移未满1年的</w:t>
      </w:r>
      <w:r>
        <w:rPr>
          <w:rFonts w:hint="eastAsia" w:ascii="仿宋_GB2312" w:hAnsi="仿宋_GB2312" w:eastAsia="仿宋_GB2312" w:cs="仿宋_GB2312"/>
          <w:color w:val="000000"/>
          <w:kern w:val="0"/>
          <w:sz w:val="32"/>
          <w:szCs w:val="32"/>
        </w:rPr>
        <w:t>家庭或人员</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lang w:eastAsia="zh-CN"/>
        </w:rPr>
        <w:t>属</w:t>
      </w:r>
      <w:r>
        <w:rPr>
          <w:rFonts w:hint="eastAsia" w:ascii="仿宋_GB2312" w:hAnsi="仿宋_GB2312" w:eastAsia="仿宋_GB2312" w:cs="仿宋_GB2312"/>
          <w:color w:val="000000"/>
          <w:sz w:val="32"/>
          <w:szCs w:val="32"/>
          <w:lang w:eastAsia="zh-CN"/>
        </w:rPr>
        <w:t>城市</w:t>
      </w:r>
      <w:r>
        <w:rPr>
          <w:rFonts w:hint="eastAsia" w:ascii="仿宋_GB2312" w:hAnsi="仿宋_GB2312" w:eastAsia="仿宋_GB2312" w:cs="仿宋_GB2312"/>
          <w:color w:val="000000"/>
          <w:sz w:val="32"/>
          <w:szCs w:val="32"/>
          <w:lang w:val="en-US" w:eastAsia="zh-CN"/>
        </w:rPr>
        <w:t>最低生活保障</w:t>
      </w:r>
      <w:r>
        <w:rPr>
          <w:rFonts w:hint="eastAsia" w:ascii="仿宋_GB2312" w:hAnsi="仿宋_GB2312" w:eastAsia="仿宋_GB2312" w:cs="仿宋_GB2312"/>
          <w:color w:val="000000"/>
          <w:sz w:val="32"/>
          <w:szCs w:val="32"/>
        </w:rPr>
        <w:t>（含城市特困供养中的分散供养人员）</w:t>
      </w:r>
      <w:r>
        <w:rPr>
          <w:rFonts w:hint="eastAsia" w:ascii="仿宋_GB2312" w:hAnsi="仿宋_GB2312" w:eastAsia="仿宋_GB2312" w:cs="仿宋_GB2312"/>
          <w:color w:val="000000"/>
          <w:sz w:val="32"/>
          <w:szCs w:val="32"/>
          <w:lang w:eastAsia="zh-CN"/>
        </w:rPr>
        <w:t>、城市低保边缘家庭中，</w:t>
      </w:r>
      <w:r>
        <w:rPr>
          <w:rFonts w:hint="eastAsia" w:ascii="仿宋_GB2312" w:hAnsi="仿宋_GB2312" w:eastAsia="仿宋_GB2312" w:cs="仿宋_GB2312"/>
          <w:color w:val="000000"/>
          <w:sz w:val="32"/>
          <w:szCs w:val="32"/>
          <w:lang w:val="en-US" w:eastAsia="zh-CN"/>
        </w:rPr>
        <w:t>配租放弃三次以上（含三</w:t>
      </w:r>
      <w:r>
        <w:rPr>
          <w:rFonts w:hint="eastAsia" w:ascii="仿宋_GB2312" w:hAnsi="仿宋_GB2312" w:eastAsia="仿宋_GB2312" w:cs="仿宋_GB2312"/>
          <w:color w:val="auto"/>
          <w:sz w:val="32"/>
          <w:szCs w:val="32"/>
          <w:lang w:val="en-US" w:eastAsia="zh-CN"/>
        </w:rPr>
        <w:t>次）；3.</w:t>
      </w:r>
      <w:r>
        <w:rPr>
          <w:rFonts w:hint="eastAsia" w:ascii="仿宋_GB2312" w:hAnsi="仿宋_GB2312" w:eastAsia="仿宋_GB2312" w:cs="仿宋_GB2312"/>
          <w:color w:val="auto"/>
          <w:sz w:val="32"/>
          <w:szCs w:val="32"/>
          <w:lang w:eastAsia="zh-CN"/>
        </w:rPr>
        <w:t>不满</w:t>
      </w:r>
      <w:r>
        <w:rPr>
          <w:rFonts w:hint="eastAsia" w:ascii="仿宋_GB2312" w:hAnsi="仿宋_GB2312" w:eastAsia="仿宋_GB2312" w:cs="仿宋_GB2312"/>
          <w:color w:val="auto"/>
          <w:sz w:val="32"/>
          <w:szCs w:val="32"/>
          <w:lang w:val="en-US" w:eastAsia="zh-CN"/>
        </w:rPr>
        <w:t>18周岁的未成年人；4.</w:t>
      </w:r>
      <w:r>
        <w:rPr>
          <w:rFonts w:hint="eastAsia" w:ascii="仿宋_GB2312" w:hAnsi="仿宋_GB2312" w:eastAsia="仿宋_GB2312" w:cs="仿宋_GB2312"/>
          <w:bCs/>
          <w:color w:val="auto"/>
          <w:sz w:val="32"/>
          <w:szCs w:val="32"/>
        </w:rPr>
        <w:t>有精神残疾、智力残疾或身患重大疾病（生活不能自理）的单人家庭</w:t>
      </w:r>
      <w:r>
        <w:rPr>
          <w:rFonts w:hint="eastAsia" w:ascii="仿宋_GB2312" w:hAnsi="仿宋_GB2312" w:eastAsia="仿宋_GB2312" w:cs="仿宋_GB2312"/>
          <w:bCs/>
          <w:color w:val="auto"/>
          <w:sz w:val="32"/>
          <w:szCs w:val="32"/>
          <w:lang w:eastAsia="zh-CN"/>
        </w:rPr>
        <w:t>和城市特困供养中</w:t>
      </w:r>
      <w:r>
        <w:rPr>
          <w:rFonts w:hint="eastAsia" w:ascii="仿宋_GB2312" w:hAnsi="仿宋_GB2312" w:eastAsia="仿宋_GB2312" w:cs="仿宋_GB2312"/>
          <w:bCs/>
          <w:color w:val="000000"/>
          <w:sz w:val="32"/>
          <w:szCs w:val="32"/>
          <w:lang w:eastAsia="zh-CN"/>
        </w:rPr>
        <w:t>的分散供养人员。</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
          <w:bCs w:val="0"/>
          <w:color w:val="000000"/>
          <w:sz w:val="32"/>
          <w:szCs w:val="32"/>
          <w:lang w:val="en-US" w:eastAsia="zh-CN"/>
        </w:rPr>
        <w:t>保障性租赁住房：</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lang w:eastAsia="zh-CN"/>
        </w:rPr>
        <w:t>符合上述配租对象，但</w:t>
      </w:r>
      <w:r>
        <w:rPr>
          <w:rFonts w:hint="eastAsia" w:ascii="仿宋_GB2312" w:hAnsi="仿宋_GB2312" w:eastAsia="仿宋_GB2312" w:cs="仿宋_GB2312"/>
          <w:color w:val="000000"/>
          <w:kern w:val="0"/>
          <w:sz w:val="32"/>
          <w:szCs w:val="32"/>
        </w:rPr>
        <w:t>承租未转换的国有公房</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拥有非住宅</w:t>
      </w:r>
      <w:r>
        <w:rPr>
          <w:rFonts w:hint="eastAsia" w:ascii="仿宋_GB2312" w:hAnsi="仿宋_GB2312" w:eastAsia="仿宋_GB2312" w:cs="仿宋_GB2312"/>
          <w:color w:val="000000"/>
          <w:kern w:val="0"/>
          <w:sz w:val="32"/>
          <w:szCs w:val="32"/>
          <w:lang w:val="en-US" w:eastAsia="zh-CN"/>
        </w:rPr>
        <w:t>不动产</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 w:eastAsia="zh-CN"/>
        </w:rPr>
        <w:t>持有国</w:t>
      </w:r>
      <w:r>
        <w:rPr>
          <w:rFonts w:hint="eastAsia" w:ascii="仿宋_GB2312" w:hAnsi="仿宋_GB2312" w:eastAsia="仿宋_GB2312" w:cs="仿宋_GB2312"/>
          <w:color w:val="000000"/>
          <w:kern w:val="0"/>
          <w:sz w:val="32"/>
          <w:szCs w:val="32"/>
          <w:lang w:val="en-US" w:eastAsia="zh-CN"/>
        </w:rPr>
        <w:t>有</w:t>
      </w:r>
      <w:r>
        <w:rPr>
          <w:rFonts w:hint="eastAsia" w:ascii="仿宋_GB2312" w:hAnsi="仿宋_GB2312" w:eastAsia="仿宋_GB2312" w:cs="仿宋_GB2312"/>
          <w:color w:val="000000"/>
          <w:kern w:val="0"/>
          <w:sz w:val="32"/>
          <w:szCs w:val="32"/>
          <w:lang w:val="en" w:eastAsia="zh-CN"/>
        </w:rPr>
        <w:t>土地使用权证或</w:t>
      </w:r>
      <w:r>
        <w:rPr>
          <w:rFonts w:hint="eastAsia" w:ascii="仿宋_GB2312" w:hAnsi="仿宋_GB2312" w:eastAsia="仿宋_GB2312" w:cs="仿宋_GB2312"/>
          <w:color w:val="000000"/>
          <w:kern w:val="0"/>
          <w:sz w:val="32"/>
          <w:szCs w:val="32"/>
          <w:lang w:val="en-US" w:eastAsia="zh-CN"/>
        </w:rPr>
        <w:t>持有宅基地，且地上有建筑</w:t>
      </w:r>
      <w:r>
        <w:rPr>
          <w:rFonts w:hint="eastAsia" w:ascii="仿宋_GB2312" w:hAnsi="仿宋_GB2312" w:eastAsia="仿宋_GB2312" w:cs="仿宋_GB2312"/>
          <w:color w:val="auto"/>
          <w:kern w:val="0"/>
          <w:sz w:val="32"/>
          <w:szCs w:val="32"/>
          <w:lang w:val="en-US" w:eastAsia="zh-CN"/>
        </w:rPr>
        <w:t>物的、不动产转移未满3年（不含离婚析产）</w:t>
      </w:r>
      <w:r>
        <w:rPr>
          <w:rFonts w:hint="eastAsia" w:ascii="仿宋_GB2312" w:hAnsi="仿宋_GB2312" w:eastAsia="仿宋_GB2312" w:cs="仿宋_GB2312"/>
          <w:color w:val="000000"/>
          <w:kern w:val="0"/>
          <w:sz w:val="32"/>
          <w:szCs w:val="32"/>
          <w:lang w:val="en-US" w:eastAsia="zh-CN"/>
        </w:rPr>
        <w:t>的</w:t>
      </w:r>
      <w:r>
        <w:rPr>
          <w:rFonts w:hint="eastAsia" w:ascii="仿宋_GB2312" w:hAnsi="仿宋_GB2312" w:eastAsia="仿宋_GB2312" w:cs="仿宋_GB2312"/>
          <w:color w:val="000000"/>
          <w:kern w:val="0"/>
          <w:sz w:val="32"/>
          <w:szCs w:val="32"/>
        </w:rPr>
        <w:t>家庭或人员</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bCs/>
          <w:color w:val="000000"/>
          <w:sz w:val="32"/>
          <w:szCs w:val="32"/>
        </w:rPr>
        <w:t>有精神残疾、智力残疾的单人家庭</w:t>
      </w:r>
      <w:r>
        <w:rPr>
          <w:rFonts w:hint="eastAsia" w:ascii="仿宋_GB2312" w:hAnsi="仿宋_GB2312" w:eastAsia="仿宋_GB2312" w:cs="仿宋_GB2312"/>
          <w:bCs/>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 xml:space="preserve">    二、分配与轮候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保障房按照申请类别、对象，实行轮候配租。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rPr>
      </w:pPr>
      <w:r>
        <w:rPr>
          <w:rFonts w:hint="eastAsia" w:ascii="方正楷体_GBK" w:hAnsi="方正楷体_GBK" w:eastAsia="方正楷体_GBK" w:cs="方正楷体_GBK"/>
          <w:color w:val="000000"/>
          <w:sz w:val="32"/>
          <w:szCs w:val="32"/>
          <w:lang w:val="en-US" w:eastAsia="zh-CN"/>
        </w:rPr>
        <w:t xml:space="preserve">    （一）公共租赁住房。</w:t>
      </w:r>
      <w:r>
        <w:rPr>
          <w:rFonts w:hint="eastAsia" w:ascii="仿宋_GB2312" w:hAnsi="仿宋_GB2312" w:eastAsia="仿宋_GB2312" w:cs="仿宋_GB2312"/>
          <w:color w:val="000000"/>
          <w:sz w:val="32"/>
          <w:szCs w:val="32"/>
          <w:lang w:val="en-US" w:eastAsia="zh-CN"/>
        </w:rPr>
        <w:t>申请公共租赁住房保障的</w:t>
      </w:r>
      <w:r>
        <w:rPr>
          <w:rFonts w:hint="eastAsia" w:ascii="仿宋_GB2312" w:hAnsi="仿宋_GB2312" w:eastAsia="仿宋_GB2312" w:cs="仿宋_GB2312"/>
          <w:color w:val="000000"/>
          <w:kern w:val="0"/>
          <w:sz w:val="32"/>
          <w:szCs w:val="32"/>
        </w:rPr>
        <w:t>城市</w:t>
      </w:r>
      <w:r>
        <w:rPr>
          <w:rFonts w:hint="eastAsia" w:ascii="仿宋_GB2312" w:hAnsi="仿宋_GB2312" w:eastAsia="仿宋_GB2312" w:cs="仿宋_GB2312"/>
          <w:color w:val="000000"/>
          <w:kern w:val="0"/>
          <w:sz w:val="32"/>
          <w:szCs w:val="32"/>
          <w:lang w:val="en-US" w:eastAsia="zh-CN"/>
        </w:rPr>
        <w:t>最低生活保障</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城市低保边缘群体</w:t>
      </w:r>
      <w:r>
        <w:rPr>
          <w:rFonts w:hint="eastAsia" w:ascii="仿宋_GB2312" w:hAnsi="仿宋_GB2312" w:eastAsia="仿宋_GB2312" w:cs="仿宋_GB2312"/>
          <w:color w:val="000000"/>
          <w:kern w:val="0"/>
          <w:sz w:val="32"/>
          <w:szCs w:val="32"/>
        </w:rPr>
        <w:t>和重点优抚对象，根据申请时间先后、家庭人口</w:t>
      </w:r>
      <w:r>
        <w:rPr>
          <w:rFonts w:hint="eastAsia" w:ascii="仿宋_GB2312" w:hAnsi="仿宋_GB2312" w:eastAsia="仿宋_GB2312" w:cs="仿宋_GB2312"/>
          <w:color w:val="000000"/>
          <w:kern w:val="0"/>
          <w:sz w:val="32"/>
          <w:szCs w:val="32"/>
          <w:lang w:eastAsia="zh-CN"/>
        </w:rPr>
        <w:t>（原则上不得隔代计算）</w:t>
      </w:r>
      <w:r>
        <w:rPr>
          <w:rFonts w:hint="eastAsia" w:ascii="仿宋_GB2312" w:hAnsi="仿宋_GB2312" w:eastAsia="仿宋_GB2312" w:cs="仿宋_GB2312"/>
          <w:color w:val="000000"/>
          <w:kern w:val="0"/>
          <w:sz w:val="32"/>
          <w:szCs w:val="32"/>
        </w:rPr>
        <w:t>、收入水平、住房困难程度和房源等情况依次计分（计分规则根据不同类型进行加分</w:t>
      </w:r>
      <w:r>
        <w:rPr>
          <w:rFonts w:hint="eastAsia" w:ascii="仿宋_GB2312" w:hAnsi="仿宋_GB2312" w:eastAsia="仿宋_GB2312" w:cs="仿宋_GB2312"/>
          <w:color w:val="000000"/>
          <w:kern w:val="0"/>
          <w:sz w:val="32"/>
          <w:szCs w:val="32"/>
          <w:lang w:eastAsia="zh-CN"/>
        </w:rPr>
        <w:t>，详见附件</w:t>
      </w:r>
      <w:r>
        <w:rPr>
          <w:rFonts w:hint="eastAsia" w:ascii="仿宋_GB2312" w:hAnsi="仿宋_GB2312" w:eastAsia="仿宋_GB2312" w:cs="仿宋_GB2312"/>
          <w:color w:val="000000"/>
          <w:kern w:val="0"/>
          <w:sz w:val="32"/>
          <w:szCs w:val="32"/>
          <w:lang w:val="en-US" w:eastAsia="zh-CN"/>
        </w:rPr>
        <w:t>4：《黄石市公共租赁住房实物配租排序轮候计分办法》</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合理确定轮候排序，统一轮候配租。其中符合退伍军人、伤残军人、军烈属、失独家庭、四星以上志愿者等条件的家庭可优先配租。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方正楷体_GBK" w:hAnsi="方正楷体_GBK" w:eastAsia="方正楷体_GBK" w:cs="方正楷体_GBK"/>
          <w:color w:val="000000"/>
          <w:sz w:val="32"/>
          <w:szCs w:val="32"/>
          <w:lang w:val="en-US" w:eastAsia="zh-CN"/>
        </w:rPr>
        <w:t>（二）保障性租赁住房。</w:t>
      </w:r>
      <w:r>
        <w:rPr>
          <w:rFonts w:hint="eastAsia" w:ascii="仿宋_GB2312" w:hAnsi="仿宋_GB2312" w:eastAsia="仿宋_GB2312" w:cs="仿宋_GB2312"/>
          <w:color w:val="000000"/>
          <w:sz w:val="32"/>
          <w:szCs w:val="32"/>
          <w:lang w:val="en-US" w:eastAsia="zh-CN"/>
        </w:rPr>
        <w:t>符合保障性租赁住房配租的新市民、青年人、引进人才、市退役军人、优秀民兵、危旧房改造群体和从事基本公共服务人员，按照保障性租赁住房的申请顺序，结合房源情况依次配租。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方正楷体_GBK" w:hAnsi="方正楷体_GBK" w:eastAsia="方正楷体_GBK" w:cs="方正楷体_GBK"/>
          <w:color w:val="000000"/>
          <w:kern w:val="0"/>
          <w:sz w:val="32"/>
          <w:szCs w:val="32"/>
          <w:lang w:val="en-US" w:eastAsia="zh-CN"/>
        </w:rPr>
        <w:t>（三）企事业单位自建住房。</w:t>
      </w:r>
      <w:r>
        <w:rPr>
          <w:rFonts w:hint="eastAsia" w:ascii="仿宋_GB2312" w:hAnsi="仿宋_GB2312" w:eastAsia="仿宋_GB2312" w:cs="仿宋_GB2312"/>
          <w:color w:val="000000"/>
          <w:kern w:val="0"/>
          <w:sz w:val="32"/>
          <w:szCs w:val="32"/>
          <w:lang w:val="en-US" w:eastAsia="zh-CN"/>
        </w:rPr>
        <w:t>企事业单位自建的公共租赁住房和保障性租赁住房优先向本单位无房职工配租，多余的可面向其他符合条件的群体配租，由辖区住房保障部门管理，报市住房保障部门备案。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三、申请、审核和配租程序</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根据保障房申请对象，实行申请、审核和配租程序。</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方正楷体_GBK" w:hAnsi="方正楷体_GBK" w:eastAsia="方正楷体_GBK" w:cs="方正楷体_GBK"/>
          <w:b w:val="0"/>
          <w:bCs w:val="0"/>
          <w:color w:val="000000"/>
          <w:sz w:val="32"/>
          <w:szCs w:val="32"/>
          <w:lang w:val="en-US" w:eastAsia="zh-CN"/>
        </w:rPr>
        <w:t>城市最低生活保障或城市</w:t>
      </w:r>
      <w:r>
        <w:rPr>
          <w:rFonts w:hint="eastAsia" w:ascii="方正楷体_GBK" w:hAnsi="方正楷体_GBK" w:eastAsia="方正楷体_GBK" w:cs="方正楷体_GBK"/>
          <w:b w:val="0"/>
          <w:bCs w:val="0"/>
          <w:color w:val="000000"/>
          <w:kern w:val="0"/>
          <w:sz w:val="32"/>
          <w:szCs w:val="32"/>
          <w:lang w:eastAsia="zh-CN"/>
        </w:rPr>
        <w:t>低保边缘</w:t>
      </w:r>
      <w:r>
        <w:rPr>
          <w:rFonts w:hint="eastAsia" w:ascii="方正楷体_GBK" w:hAnsi="方正楷体_GBK" w:eastAsia="方正楷体_GBK" w:cs="方正楷体_GBK"/>
          <w:b w:val="0"/>
          <w:bCs w:val="0"/>
          <w:color w:val="000000"/>
          <w:sz w:val="32"/>
          <w:szCs w:val="32"/>
          <w:lang w:val="en-US" w:eastAsia="zh-CN"/>
        </w:rPr>
        <w:t>家庭：</w:t>
      </w:r>
      <w:r>
        <w:rPr>
          <w:rFonts w:hint="eastAsia" w:ascii="仿宋_GB2312" w:hAnsi="仿宋_GB2312" w:eastAsia="仿宋_GB2312" w:cs="仿宋_GB2312"/>
          <w:color w:val="000000"/>
          <w:sz w:val="32"/>
          <w:szCs w:val="32"/>
          <w:lang w:val="en-US" w:eastAsia="zh-CN"/>
        </w:rPr>
        <w:t>家庭申请-城区民政部门核定对象-街道受理、系统录入、公示-城区住房保障部门审核申报资料（含查看不动产无房证明和核查商品房备案记录）、系统录入、公示-市住房保障部门审批-城区住房保障部门配租-产权运营单位办理入住手续-市住房保障部门公告。</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val="en-US" w:eastAsia="zh-CN"/>
        </w:rPr>
      </w:pPr>
      <w:r>
        <w:rPr>
          <w:rFonts w:hint="eastAsia" w:ascii="方正楷体_GBK" w:hAnsi="方正楷体_GBK" w:eastAsia="方正楷体_GBK" w:cs="方正楷体_GBK"/>
          <w:b w:val="0"/>
          <w:bCs w:val="0"/>
          <w:color w:val="000000"/>
          <w:kern w:val="2"/>
          <w:sz w:val="32"/>
          <w:szCs w:val="32"/>
          <w:lang w:val="en-US" w:eastAsia="zh-CN" w:bidi="ar-SA"/>
        </w:rPr>
        <w:t xml:space="preserve">   </w:t>
      </w:r>
      <w:r>
        <w:rPr>
          <w:rFonts w:hint="eastAsia" w:ascii="方正楷体_GBK" w:hAnsi="方正楷体_GBK" w:eastAsia="方正楷体_GBK" w:cs="方正楷体_GBK"/>
          <w:b w:val="0"/>
          <w:bCs w:val="0"/>
          <w:color w:val="000000"/>
          <w:kern w:val="2"/>
          <w:sz w:val="32"/>
          <w:szCs w:val="32"/>
          <w:lang w:val="en" w:eastAsia="zh-CN" w:bidi="ar-SA"/>
        </w:rPr>
        <w:t>（</w:t>
      </w:r>
      <w:r>
        <w:rPr>
          <w:rFonts w:hint="eastAsia" w:ascii="方正楷体_GBK" w:hAnsi="方正楷体_GBK" w:eastAsia="方正楷体_GBK" w:cs="方正楷体_GBK"/>
          <w:b w:val="0"/>
          <w:bCs w:val="0"/>
          <w:color w:val="000000"/>
          <w:kern w:val="2"/>
          <w:sz w:val="32"/>
          <w:szCs w:val="32"/>
          <w:lang w:val="en-US" w:eastAsia="zh-CN" w:bidi="ar-SA"/>
        </w:rPr>
        <w:t>二</w:t>
      </w:r>
      <w:r>
        <w:rPr>
          <w:rFonts w:hint="eastAsia" w:ascii="方正楷体_GBK" w:hAnsi="方正楷体_GBK" w:eastAsia="方正楷体_GBK" w:cs="方正楷体_GBK"/>
          <w:b w:val="0"/>
          <w:bCs w:val="0"/>
          <w:color w:val="000000"/>
          <w:kern w:val="2"/>
          <w:sz w:val="32"/>
          <w:szCs w:val="32"/>
          <w:lang w:val="en" w:eastAsia="zh-CN" w:bidi="ar-SA"/>
        </w:rPr>
        <w:t>）重点优抚对象：</w:t>
      </w:r>
      <w:r>
        <w:rPr>
          <w:rFonts w:hint="eastAsia" w:ascii="仿宋_GB2312" w:hAnsi="仿宋_GB2312" w:eastAsia="仿宋_GB2312" w:cs="仿宋_GB2312"/>
          <w:color w:val="000000"/>
          <w:sz w:val="32"/>
          <w:szCs w:val="32"/>
          <w:lang w:val="en" w:eastAsia="zh-CN"/>
        </w:rPr>
        <w:t>个人申请</w:t>
      </w:r>
      <w:r>
        <w:rPr>
          <w:rFonts w:hint="eastAsia" w:ascii="仿宋_GB2312" w:hAnsi="仿宋_GB2312" w:eastAsia="仿宋_GB2312" w:cs="仿宋_GB2312"/>
          <w:color w:val="000000"/>
          <w:sz w:val="32"/>
          <w:szCs w:val="32"/>
          <w:lang w:val="en-US" w:eastAsia="zh-CN"/>
        </w:rPr>
        <w:t>-城区退役军人事务部门认定对象-街道受理、系统录入、公示-城区住房保障部门审核申报资料（含查看不动产无房证明和核查商品房备案记录）、系统录入、公示-市住房保障部门审批-城区住房保障部门配租-产权运营单位办理入住手续-市住房保障部门公告。</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方正楷体_GBK" w:hAnsi="方正楷体_GBK" w:eastAsia="方正楷体_GBK" w:cs="方正楷体_GBK"/>
          <w:b w:val="0"/>
          <w:bCs w:val="0"/>
          <w:color w:val="000000"/>
          <w:kern w:val="2"/>
          <w:sz w:val="32"/>
          <w:szCs w:val="32"/>
          <w:lang w:val="en" w:eastAsia="zh-CN" w:bidi="ar-SA"/>
        </w:rPr>
        <w:t>（</w:t>
      </w:r>
      <w:r>
        <w:rPr>
          <w:rFonts w:hint="eastAsia" w:ascii="方正楷体_GBK" w:hAnsi="方正楷体_GBK" w:eastAsia="方正楷体_GBK" w:cs="方正楷体_GBK"/>
          <w:b w:val="0"/>
          <w:bCs w:val="0"/>
          <w:color w:val="000000"/>
          <w:kern w:val="2"/>
          <w:sz w:val="32"/>
          <w:szCs w:val="32"/>
          <w:lang w:val="en-US" w:eastAsia="zh-CN" w:bidi="ar-SA"/>
        </w:rPr>
        <w:t>三</w:t>
      </w:r>
      <w:r>
        <w:rPr>
          <w:rFonts w:hint="eastAsia" w:ascii="方正楷体_GBK" w:hAnsi="方正楷体_GBK" w:eastAsia="方正楷体_GBK" w:cs="方正楷体_GBK"/>
          <w:b w:val="0"/>
          <w:bCs w:val="0"/>
          <w:color w:val="000000"/>
          <w:kern w:val="2"/>
          <w:sz w:val="32"/>
          <w:szCs w:val="32"/>
          <w:lang w:val="en" w:eastAsia="zh-CN" w:bidi="ar-SA"/>
        </w:rPr>
        <w:t>）“新黄石人”：</w:t>
      </w:r>
      <w:r>
        <w:rPr>
          <w:rFonts w:hint="eastAsia" w:ascii="仿宋_GB2312" w:hAnsi="仿宋_GB2312" w:eastAsia="仿宋_GB2312" w:cs="仿宋_GB2312"/>
          <w:color w:val="000000"/>
          <w:sz w:val="32"/>
          <w:szCs w:val="32"/>
          <w:lang w:val="en" w:eastAsia="zh-CN"/>
        </w:rPr>
        <w:t>个人申请、</w:t>
      </w:r>
      <w:r>
        <w:rPr>
          <w:rFonts w:hint="eastAsia" w:ascii="仿宋_GB2312" w:hAnsi="仿宋_GB2312" w:eastAsia="仿宋_GB2312" w:cs="仿宋_GB2312"/>
          <w:color w:val="000000"/>
          <w:sz w:val="32"/>
          <w:szCs w:val="32"/>
          <w:lang w:val="en-US" w:eastAsia="zh-CN"/>
        </w:rPr>
        <w:t>所在单位申报-城区人社部门认定人员属性-城区住房保障部门审核申报资料（含查看不动产无房证明和核查商品房备案记录）、公示-市住房保障部门审批-城区住房保障部门配租-产权运营单位办理入住手续-市住房保障部门公告。</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rPr>
      </w:pPr>
      <w:r>
        <w:rPr>
          <w:rFonts w:hint="eastAsia" w:ascii="方正楷体_GBK" w:hAnsi="方正楷体_GBK" w:eastAsia="方正楷体_GBK" w:cs="方正楷体_GBK"/>
          <w:b w:val="0"/>
          <w:bCs w:val="0"/>
          <w:color w:val="000000"/>
          <w:kern w:val="2"/>
          <w:sz w:val="32"/>
          <w:szCs w:val="32"/>
          <w:lang w:val="en-US" w:eastAsia="zh-CN" w:bidi="ar-SA"/>
        </w:rPr>
        <w:t xml:space="preserve">    （四）基本公共服务人员：</w:t>
      </w:r>
      <w:r>
        <w:rPr>
          <w:rFonts w:hint="eastAsia" w:ascii="仿宋_GB2312" w:hAnsi="仿宋_GB2312" w:eastAsia="仿宋_GB2312" w:cs="仿宋_GB2312"/>
          <w:color w:val="000000"/>
          <w:sz w:val="32"/>
          <w:szCs w:val="32"/>
          <w:lang w:val="en-US" w:eastAsia="zh-CN"/>
        </w:rPr>
        <w:t>个人申请-产权运营单位收集资料-城区人社部门认定人员属性-城区住房保障部门审核申报资料（含查看不动产无房证明和核查商品房备案记录）、（未缴纳单位保险人员资格由</w:t>
      </w:r>
      <w:r>
        <w:rPr>
          <w:rFonts w:hint="eastAsia" w:ascii="仿宋_GB2312" w:hAnsi="仿宋_GB2312" w:eastAsia="仿宋_GB2312" w:cs="仿宋_GB2312"/>
          <w:color w:val="auto"/>
          <w:sz w:val="32"/>
          <w:szCs w:val="32"/>
          <w:lang w:val="en-US" w:eastAsia="zh-CN"/>
        </w:rPr>
        <w:t>城区住房保障部门自行</w:t>
      </w:r>
      <w:r>
        <w:rPr>
          <w:rFonts w:hint="eastAsia" w:ascii="仿宋_GB2312" w:hAnsi="仿宋_GB2312" w:eastAsia="仿宋_GB2312" w:cs="仿宋_GB2312"/>
          <w:color w:val="000000"/>
          <w:sz w:val="32"/>
          <w:szCs w:val="32"/>
          <w:lang w:val="en-US" w:eastAsia="zh-CN"/>
        </w:rPr>
        <w:t>认定）-产权运营单位公示、配租-市住房保障部门备案、年度公告</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sz w:val="32"/>
          <w:szCs w:val="32"/>
        </w:rPr>
      </w:pPr>
      <w:r>
        <w:rPr>
          <w:rFonts w:hint="eastAsia" w:ascii="方正楷体_GBK" w:hAnsi="方正楷体_GBK" w:eastAsia="方正楷体_GBK" w:cs="方正楷体_GBK"/>
          <w:b w:val="0"/>
          <w:bCs w:val="0"/>
          <w:color w:val="000000"/>
          <w:kern w:val="2"/>
          <w:sz w:val="32"/>
          <w:szCs w:val="32"/>
          <w:lang w:val="en-US" w:eastAsia="zh-CN" w:bidi="ar-SA"/>
        </w:rPr>
        <w:t>（五）优秀民兵：</w:t>
      </w:r>
      <w:r>
        <w:rPr>
          <w:rFonts w:hint="eastAsia" w:ascii="仿宋_GB2312" w:hAnsi="仿宋_GB2312" w:eastAsia="仿宋_GB2312" w:cs="仿宋_GB2312"/>
          <w:b w:val="0"/>
          <w:bCs w:val="0"/>
          <w:color w:val="000000"/>
          <w:kern w:val="2"/>
          <w:sz w:val="32"/>
          <w:szCs w:val="32"/>
          <w:lang w:val="en-US" w:eastAsia="zh-CN" w:bidi="ar-SA"/>
        </w:rPr>
        <w:t>个</w:t>
      </w:r>
      <w:r>
        <w:rPr>
          <w:rFonts w:hint="eastAsia" w:ascii="仿宋_GB2312" w:hAnsi="仿宋_GB2312" w:eastAsia="仿宋_GB2312" w:cs="仿宋_GB2312"/>
          <w:b w:val="0"/>
          <w:bCs w:val="0"/>
          <w:color w:val="000000"/>
          <w:sz w:val="32"/>
          <w:szCs w:val="32"/>
          <w:lang w:val="en-US" w:eastAsia="zh-CN"/>
        </w:rPr>
        <w:t>人申请-产权运营单位收集资料-市军分区认定资格-城区住房保障部门审核申报资料（含查看不动产无房证明和无商品房备案证明）-产权运营单位公示、配租-市住房保障部门备案、年度公告</w:t>
      </w:r>
      <w:r>
        <w:rPr>
          <w:rFonts w:hint="eastAsia" w:ascii="仿宋_GB2312" w:hAnsi="仿宋_GB2312" w:eastAsia="仿宋_GB2312" w:cs="仿宋_GB2312"/>
          <w:b w:val="0"/>
          <w:bCs w:val="0"/>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rPr>
      </w:pPr>
      <w:r>
        <w:rPr>
          <w:rFonts w:hint="eastAsia" w:ascii="方正楷体_GBK" w:hAnsi="方正楷体_GBK" w:eastAsia="方正楷体_GBK" w:cs="方正楷体_GBK"/>
          <w:b w:val="0"/>
          <w:bCs w:val="0"/>
          <w:color w:val="000000"/>
          <w:kern w:val="2"/>
          <w:sz w:val="32"/>
          <w:szCs w:val="32"/>
          <w:lang w:val="en-US" w:eastAsia="zh-CN" w:bidi="ar-SA"/>
        </w:rPr>
        <w:t xml:space="preserve">    （六）</w:t>
      </w:r>
      <w:r>
        <w:rPr>
          <w:rFonts w:hint="eastAsia" w:ascii="方正楷体_GBK" w:hAnsi="方正楷体_GBK" w:eastAsia="方正楷体_GBK" w:cs="方正楷体_GBK"/>
          <w:b w:val="0"/>
          <w:bCs w:val="0"/>
          <w:color w:val="000000"/>
          <w:kern w:val="2"/>
          <w:sz w:val="32"/>
          <w:szCs w:val="32"/>
          <w:lang w:val="en" w:eastAsia="zh-CN" w:bidi="ar-SA"/>
        </w:rPr>
        <w:t>C、D级</w:t>
      </w:r>
      <w:r>
        <w:rPr>
          <w:rFonts w:hint="eastAsia" w:ascii="方正楷体_GBK" w:hAnsi="方正楷体_GBK" w:eastAsia="方正楷体_GBK" w:cs="方正楷体_GBK"/>
          <w:b w:val="0"/>
          <w:bCs w:val="0"/>
          <w:color w:val="000000"/>
          <w:kern w:val="2"/>
          <w:sz w:val="32"/>
          <w:szCs w:val="32"/>
          <w:lang w:val="en-US" w:eastAsia="zh-CN" w:bidi="ar-SA"/>
        </w:rPr>
        <w:t>危旧房群体：</w:t>
      </w:r>
      <w:r>
        <w:rPr>
          <w:rFonts w:hint="eastAsia" w:ascii="仿宋_GB2312" w:hAnsi="仿宋_GB2312" w:eastAsia="仿宋_GB2312" w:cs="仿宋_GB2312"/>
          <w:color w:val="000000"/>
          <w:sz w:val="32"/>
          <w:szCs w:val="32"/>
          <w:lang w:val="en-US" w:eastAsia="zh-CN"/>
        </w:rPr>
        <w:t>个人申请-城区会同市房屋安全监管部门共同审核向产权运营单位报送计划明细-产权运营单位收集资料，切块安排房源-城区住房保障部门审核申报资料（含查看不动产无房证明和无商品房备案证明）-产权运营单位公示、配租-市住房保障部门备案、年度公告</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自本操作指引公布之日起，申请审核实施即时审核、公示、年度公告，涉及申请人家庭的低保证、低保边缘家庭认定回执单的时限为自然年度，一次申请、全年有效。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sectPr>
          <w:footerReference r:id="rId3" w:type="default"/>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snapToGrid/>
        <w:spacing w:line="560" w:lineRule="exact"/>
        <w:textAlignment w:val="auto"/>
        <w:rPr>
          <w:rFonts w:hint="default" w:ascii="Nimbus Roman No9 L" w:hAnsi="Nimbus Roman No9 L" w:cs="Nimbus Roman No9 L"/>
        </w:rPr>
      </w:pPr>
    </w:p>
    <w:sectPr>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3F63167-E5C7-49DE-8D53-58B78022A0F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C3890D2A-75B9-4F6A-AEA9-399C56B508FC}"/>
  </w:font>
  <w:font w:name="仿宋_GB2312">
    <w:altName w:val="仿宋"/>
    <w:panose1 w:val="02010609030101010101"/>
    <w:charset w:val="86"/>
    <w:family w:val="auto"/>
    <w:pitch w:val="default"/>
    <w:sig w:usb0="00000000" w:usb1="00000000" w:usb2="00000000" w:usb3="00000000" w:csb0="00040000" w:csb1="00000000"/>
    <w:embedRegular r:id="rId3" w:fontKey="{4DB4380C-7704-44F5-B59F-03F5EA1C96BF}"/>
  </w:font>
  <w:font w:name="仿宋">
    <w:panose1 w:val="02010609060101010101"/>
    <w:charset w:val="86"/>
    <w:family w:val="auto"/>
    <w:pitch w:val="default"/>
    <w:sig w:usb0="800002BF" w:usb1="38CF7CFA" w:usb2="00000016" w:usb3="00000000" w:csb0="00040001" w:csb1="00000000"/>
  </w:font>
  <w:font w:name="方正楷体_GBK">
    <w:panose1 w:val="02000000000000000000"/>
    <w:charset w:val="86"/>
    <w:family w:val="auto"/>
    <w:pitch w:val="default"/>
    <w:sig w:usb0="800002BF" w:usb1="38CF7CFA" w:usb2="00000016" w:usb3="00000000" w:csb0="00040000" w:csb1="00000000"/>
    <w:embedRegular r:id="rId4" w:fontKey="{4D523E74-B090-4144-94A4-87BA50AB0184}"/>
  </w:font>
  <w:font w:name="Nimbus Roman No9 L">
    <w:altName w:val="微软雅黑"/>
    <w:panose1 w:val="00000000000000000000"/>
    <w:charset w:val="00"/>
    <w:family w:val="auto"/>
    <w:pitch w:val="default"/>
    <w:sig w:usb0="00000000" w:usb1="00000000" w:usb2="00000000" w:usb3="00000000" w:csb0="00040001" w:csb1="00000000"/>
    <w:embedRegular r:id="rId5" w:fontKey="{AEB5D00F-F926-46A6-9081-BC81167FAF4B}"/>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4"/>
                          </w:pPr>
                          <w:r>
                            <w:fldChar w:fldCharType="begin"/>
                          </w:r>
                          <w:r>
                            <w:instrText xml:space="preserve"> PAGE  \* MERGEFORMAT </w:instrText>
                          </w:r>
                          <w:r>
                            <w:fldChar w:fldCharType="separate"/>
                          </w:r>
                          <w:r>
                            <w:t>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srYZOdYBAACwAwAADgAAAAAAAAABACAAAAAe&#10;AQAAZHJzL2Uyb0RvYy54bWxQSwUGAAAAAAYABgBZAQAAZgU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Nimbus Roman No9 L" w:hAnsi="Nimbus Roman No9 L" w:eastAsia="仿宋_GB2312" w:cs="Nimbus Roman No9 L"/>
                              <w:sz w:val="24"/>
                              <w:szCs w:val="24"/>
                              <w:lang w:eastAsia="zh-CN"/>
                            </w:rPr>
                          </w:pPr>
                          <w:r>
                            <w:rPr>
                              <w:rFonts w:hint="eastAsia" w:ascii="Nimbus Roman No9 L" w:hAnsi="Nimbus Roman No9 L" w:eastAsia="仿宋_GB2312" w:cs="Nimbus Roman No9 L"/>
                              <w:sz w:val="24"/>
                              <w:szCs w:val="24"/>
                              <w:lang w:eastAsia="zh-CN"/>
                            </w:rPr>
                            <w:t>—</w:t>
                          </w:r>
                          <w:r>
                            <w:rPr>
                              <w:rFonts w:hint="default" w:ascii="Nimbus Roman No9 L" w:hAnsi="Nimbus Roman No9 L" w:eastAsia="仿宋_GB2312" w:cs="Nimbus Roman No9 L"/>
                              <w:sz w:val="24"/>
                              <w:szCs w:val="24"/>
                            </w:rPr>
                            <w:fldChar w:fldCharType="begin"/>
                          </w:r>
                          <w:r>
                            <w:rPr>
                              <w:rFonts w:hint="default" w:ascii="Nimbus Roman No9 L" w:hAnsi="Nimbus Roman No9 L" w:eastAsia="仿宋_GB2312" w:cs="Nimbus Roman No9 L"/>
                              <w:sz w:val="24"/>
                              <w:szCs w:val="24"/>
                            </w:rPr>
                            <w:instrText xml:space="preserve"> PAGE  \* MERGEFORMAT </w:instrText>
                          </w:r>
                          <w:r>
                            <w:rPr>
                              <w:rFonts w:hint="default" w:ascii="Nimbus Roman No9 L" w:hAnsi="Nimbus Roman No9 L" w:eastAsia="仿宋_GB2312" w:cs="Nimbus Roman No9 L"/>
                              <w:sz w:val="24"/>
                              <w:szCs w:val="24"/>
                            </w:rPr>
                            <w:fldChar w:fldCharType="separate"/>
                          </w:r>
                          <w:r>
                            <w:rPr>
                              <w:rFonts w:hint="default" w:ascii="Nimbus Roman No9 L" w:hAnsi="Nimbus Roman No9 L" w:eastAsia="仿宋_GB2312" w:cs="Nimbus Roman No9 L"/>
                              <w:sz w:val="24"/>
                              <w:szCs w:val="24"/>
                            </w:rPr>
                            <w:t>1</w:t>
                          </w:r>
                          <w:r>
                            <w:rPr>
                              <w:rFonts w:hint="default" w:ascii="Nimbus Roman No9 L" w:hAnsi="Nimbus Roman No9 L" w:eastAsia="仿宋_GB2312" w:cs="Nimbus Roman No9 L"/>
                              <w:sz w:val="24"/>
                              <w:szCs w:val="24"/>
                            </w:rPr>
                            <w:fldChar w:fldCharType="end"/>
                          </w:r>
                          <w:r>
                            <w:rPr>
                              <w:rFonts w:hint="eastAsia" w:ascii="Nimbus Roman No9 L" w:hAnsi="Nimbus Roman No9 L" w:eastAsia="仿宋_GB2312" w:cs="Nimbus Roman No9 L"/>
                              <w:sz w:val="24"/>
                              <w:szCs w:val="24"/>
                              <w:lang w:eastAsia="zh-CN"/>
                            </w:rPr>
                            <w:t>—</w:t>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Xcim94BAAC+AwAADgAAAGRycy9lMm9Eb2MueG1srVPBjtMwEL0j8Q+W&#10;7zTZSou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ovOXPC0sDP37+df/w6//zK&#10;rp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5dyKb3gEAAL4DAAAOAAAAAAAA&#10;AAEAIAAAAB4BAABkcnMvZTJvRG9jLnhtbFBLBQYAAAAABgAGAFkBAABuBQAAAAA=&#10;">
              <v:fill on="f" focussize="0,0"/>
              <v:stroke on="f"/>
              <v:imagedata o:title=""/>
              <o:lock v:ext="edit" aspectratio="f"/>
              <v:textbox inset="0mm,0mm,0mm,0mm" style="mso-fit-shape-to-text:t;">
                <w:txbxContent>
                  <w:p>
                    <w:pPr>
                      <w:pStyle w:val="4"/>
                      <w:rPr>
                        <w:rFonts w:hint="eastAsia" w:ascii="Nimbus Roman No9 L" w:hAnsi="Nimbus Roman No9 L" w:eastAsia="仿宋_GB2312" w:cs="Nimbus Roman No9 L"/>
                        <w:sz w:val="24"/>
                        <w:szCs w:val="24"/>
                        <w:lang w:eastAsia="zh-CN"/>
                      </w:rPr>
                    </w:pPr>
                    <w:r>
                      <w:rPr>
                        <w:rFonts w:hint="eastAsia" w:ascii="Nimbus Roman No9 L" w:hAnsi="Nimbus Roman No9 L" w:eastAsia="仿宋_GB2312" w:cs="Nimbus Roman No9 L"/>
                        <w:sz w:val="24"/>
                        <w:szCs w:val="24"/>
                        <w:lang w:eastAsia="zh-CN"/>
                      </w:rPr>
                      <w:t>—</w:t>
                    </w:r>
                    <w:r>
                      <w:rPr>
                        <w:rFonts w:hint="default" w:ascii="Nimbus Roman No9 L" w:hAnsi="Nimbus Roman No9 L" w:eastAsia="仿宋_GB2312" w:cs="Nimbus Roman No9 L"/>
                        <w:sz w:val="24"/>
                        <w:szCs w:val="24"/>
                      </w:rPr>
                      <w:fldChar w:fldCharType="begin"/>
                    </w:r>
                    <w:r>
                      <w:rPr>
                        <w:rFonts w:hint="default" w:ascii="Nimbus Roman No9 L" w:hAnsi="Nimbus Roman No9 L" w:eastAsia="仿宋_GB2312" w:cs="Nimbus Roman No9 L"/>
                        <w:sz w:val="24"/>
                        <w:szCs w:val="24"/>
                      </w:rPr>
                      <w:instrText xml:space="preserve"> PAGE  \* MERGEFORMAT </w:instrText>
                    </w:r>
                    <w:r>
                      <w:rPr>
                        <w:rFonts w:hint="default" w:ascii="Nimbus Roman No9 L" w:hAnsi="Nimbus Roman No9 L" w:eastAsia="仿宋_GB2312" w:cs="Nimbus Roman No9 L"/>
                        <w:sz w:val="24"/>
                        <w:szCs w:val="24"/>
                      </w:rPr>
                      <w:fldChar w:fldCharType="separate"/>
                    </w:r>
                    <w:r>
                      <w:rPr>
                        <w:rFonts w:hint="default" w:ascii="Nimbus Roman No9 L" w:hAnsi="Nimbus Roman No9 L" w:eastAsia="仿宋_GB2312" w:cs="Nimbus Roman No9 L"/>
                        <w:sz w:val="24"/>
                        <w:szCs w:val="24"/>
                      </w:rPr>
                      <w:t>1</w:t>
                    </w:r>
                    <w:r>
                      <w:rPr>
                        <w:rFonts w:hint="default" w:ascii="Nimbus Roman No9 L" w:hAnsi="Nimbus Roman No9 L" w:eastAsia="仿宋_GB2312" w:cs="Nimbus Roman No9 L"/>
                        <w:sz w:val="24"/>
                        <w:szCs w:val="24"/>
                      </w:rPr>
                      <w:fldChar w:fldCharType="end"/>
                    </w:r>
                    <w:r>
                      <w:rPr>
                        <w:rFonts w:hint="eastAsia" w:ascii="Nimbus Roman No9 L" w:hAnsi="Nimbus Roman No9 L" w:eastAsia="仿宋_GB2312" w:cs="Nimbus Roman No9 L"/>
                        <w:sz w:val="24"/>
                        <w:szCs w:val="24"/>
                        <w:lang w:eastAsia="zh-CN"/>
                      </w:rPr>
                      <w:t>—</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FAF24B"/>
    <w:multiLevelType w:val="singleLevel"/>
    <w:tmpl w:val="6BFAF24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4OGEwOTI4M2ZmNjBmZDUyOTgzYWE0NDAwNjlkN2QifQ=="/>
  </w:docVars>
  <w:rsids>
    <w:rsidRoot w:val="00000000"/>
    <w:rsid w:val="01AE59B2"/>
    <w:rsid w:val="01F805C6"/>
    <w:rsid w:val="033C3C99"/>
    <w:rsid w:val="05FD1504"/>
    <w:rsid w:val="0A027A25"/>
    <w:rsid w:val="0AD3351C"/>
    <w:rsid w:val="0F1E5618"/>
    <w:rsid w:val="0F966B1B"/>
    <w:rsid w:val="17F23BA0"/>
    <w:rsid w:val="1A08619F"/>
    <w:rsid w:val="1D5A46E3"/>
    <w:rsid w:val="1D997DB1"/>
    <w:rsid w:val="1EFE28F3"/>
    <w:rsid w:val="1F1D3576"/>
    <w:rsid w:val="1F9B377F"/>
    <w:rsid w:val="20295032"/>
    <w:rsid w:val="22D936E7"/>
    <w:rsid w:val="230213E3"/>
    <w:rsid w:val="240D3893"/>
    <w:rsid w:val="25FA4422"/>
    <w:rsid w:val="266944D2"/>
    <w:rsid w:val="28665E9B"/>
    <w:rsid w:val="29743B9E"/>
    <w:rsid w:val="2C035B02"/>
    <w:rsid w:val="308B27FD"/>
    <w:rsid w:val="30987078"/>
    <w:rsid w:val="30D737A5"/>
    <w:rsid w:val="363D5D47"/>
    <w:rsid w:val="38DD449C"/>
    <w:rsid w:val="39B030F6"/>
    <w:rsid w:val="3B4FB96A"/>
    <w:rsid w:val="3BC77C4F"/>
    <w:rsid w:val="3BEF4F5F"/>
    <w:rsid w:val="3BFF0AE2"/>
    <w:rsid w:val="3CFAA022"/>
    <w:rsid w:val="3DA6105C"/>
    <w:rsid w:val="3F73A649"/>
    <w:rsid w:val="413870CF"/>
    <w:rsid w:val="45500074"/>
    <w:rsid w:val="4614338C"/>
    <w:rsid w:val="47E15DB9"/>
    <w:rsid w:val="48092105"/>
    <w:rsid w:val="4858216B"/>
    <w:rsid w:val="4AC631FE"/>
    <w:rsid w:val="4C405B15"/>
    <w:rsid w:val="4CFF377C"/>
    <w:rsid w:val="4D754479"/>
    <w:rsid w:val="517E29D6"/>
    <w:rsid w:val="52475ACB"/>
    <w:rsid w:val="54D33592"/>
    <w:rsid w:val="556D1117"/>
    <w:rsid w:val="559F91AD"/>
    <w:rsid w:val="583B5E8E"/>
    <w:rsid w:val="588F7B16"/>
    <w:rsid w:val="59210A75"/>
    <w:rsid w:val="59AE4437"/>
    <w:rsid w:val="5A0511F2"/>
    <w:rsid w:val="5A6F3737"/>
    <w:rsid w:val="5ADA7166"/>
    <w:rsid w:val="5CFFFE38"/>
    <w:rsid w:val="5D983394"/>
    <w:rsid w:val="5DDEFD1D"/>
    <w:rsid w:val="5DE93263"/>
    <w:rsid w:val="5FBF214A"/>
    <w:rsid w:val="5FF7AC63"/>
    <w:rsid w:val="60286C01"/>
    <w:rsid w:val="61BF4A29"/>
    <w:rsid w:val="644576CD"/>
    <w:rsid w:val="67D73440"/>
    <w:rsid w:val="67FF7E80"/>
    <w:rsid w:val="68F13579"/>
    <w:rsid w:val="6A474B6E"/>
    <w:rsid w:val="6AD549BD"/>
    <w:rsid w:val="6CE17F6B"/>
    <w:rsid w:val="6E5930C7"/>
    <w:rsid w:val="6ED7DA8E"/>
    <w:rsid w:val="6FBD6B29"/>
    <w:rsid w:val="6FFF27F4"/>
    <w:rsid w:val="700E7D64"/>
    <w:rsid w:val="716D1733"/>
    <w:rsid w:val="72EED88E"/>
    <w:rsid w:val="73FADF60"/>
    <w:rsid w:val="74994185"/>
    <w:rsid w:val="74DD4058"/>
    <w:rsid w:val="75F75C3F"/>
    <w:rsid w:val="76B9F219"/>
    <w:rsid w:val="76BF1037"/>
    <w:rsid w:val="777DB3B6"/>
    <w:rsid w:val="77E676F2"/>
    <w:rsid w:val="79B6B149"/>
    <w:rsid w:val="79EF79DD"/>
    <w:rsid w:val="7A322DC7"/>
    <w:rsid w:val="7A4EB0A3"/>
    <w:rsid w:val="7A4F28B5"/>
    <w:rsid w:val="7ABFA927"/>
    <w:rsid w:val="7AF834D0"/>
    <w:rsid w:val="7CFFFF24"/>
    <w:rsid w:val="7DE4DCA4"/>
    <w:rsid w:val="7DFE46B0"/>
    <w:rsid w:val="7DFF90D2"/>
    <w:rsid w:val="7E0FF7A7"/>
    <w:rsid w:val="7E6818FA"/>
    <w:rsid w:val="7EB2FCDD"/>
    <w:rsid w:val="7EF7412A"/>
    <w:rsid w:val="7F9B5775"/>
    <w:rsid w:val="7FC76B32"/>
    <w:rsid w:val="7FE75442"/>
    <w:rsid w:val="7FEF0104"/>
    <w:rsid w:val="7FF63FE3"/>
    <w:rsid w:val="7FFC68CF"/>
    <w:rsid w:val="8FFF2C47"/>
    <w:rsid w:val="96EEAB02"/>
    <w:rsid w:val="A5BE2952"/>
    <w:rsid w:val="AB579ACD"/>
    <w:rsid w:val="B5787F18"/>
    <w:rsid w:val="B7F164E1"/>
    <w:rsid w:val="B7FC02BA"/>
    <w:rsid w:val="BDED3FD9"/>
    <w:rsid w:val="BDF70FFD"/>
    <w:rsid w:val="BF33F122"/>
    <w:rsid w:val="C7FF4E36"/>
    <w:rsid w:val="CBFF2280"/>
    <w:rsid w:val="CF7D3844"/>
    <w:rsid w:val="CFDF5F4A"/>
    <w:rsid w:val="D6FFC779"/>
    <w:rsid w:val="DBB59057"/>
    <w:rsid w:val="DBFF3C85"/>
    <w:rsid w:val="DC1BCA50"/>
    <w:rsid w:val="DDFFB8C4"/>
    <w:rsid w:val="DF7757D0"/>
    <w:rsid w:val="E7FDF4B7"/>
    <w:rsid w:val="EA7B31B2"/>
    <w:rsid w:val="EE5F567D"/>
    <w:rsid w:val="EEDF32F2"/>
    <w:rsid w:val="EEDF992E"/>
    <w:rsid w:val="EF6FC4BA"/>
    <w:rsid w:val="F1FFCF68"/>
    <w:rsid w:val="F37F03C7"/>
    <w:rsid w:val="F5D7E9A3"/>
    <w:rsid w:val="F8BF1D64"/>
    <w:rsid w:val="FAFD02F5"/>
    <w:rsid w:val="FBE7C684"/>
    <w:rsid w:val="FBF73D7E"/>
    <w:rsid w:val="FCF71CD5"/>
    <w:rsid w:val="FD3E1ED9"/>
    <w:rsid w:val="FD7F56F6"/>
    <w:rsid w:val="FDFF4EB7"/>
    <w:rsid w:val="FEFE883A"/>
    <w:rsid w:val="FEFF2FB9"/>
    <w:rsid w:val="FF7DE963"/>
    <w:rsid w:val="FF7F3854"/>
    <w:rsid w:val="FFBF62EE"/>
    <w:rsid w:val="FFD702AC"/>
    <w:rsid w:val="FFDC681E"/>
    <w:rsid w:val="FFE5320B"/>
    <w:rsid w:val="FFFBE395"/>
    <w:rsid w:val="FFFFFA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val="0"/>
      <w:spacing w:after="120" w:afterAutospacing="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styleId="3">
    <w:name w:val="Body Text Indent"/>
    <w:basedOn w:val="1"/>
    <w:next w:val="2"/>
    <w:qFormat/>
    <w:uiPriority w:val="0"/>
    <w:pPr>
      <w:widowControl w:val="0"/>
      <w:spacing w:after="120" w:afterAutospacing="0"/>
      <w:ind w:left="420" w:leftChars="200"/>
      <w:jc w:val="both"/>
    </w:pPr>
    <w:rPr>
      <w:rFonts w:ascii="Times New Roman" w:hAnsi="Times New Roman" w:eastAsia="宋体" w:cs="Times New Roman"/>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 w:type="paragraph" w:customStyle="1" w:styleId="9">
    <w:name w:val="BodyText1I2"/>
    <w:basedOn w:val="10"/>
    <w:qFormat/>
    <w:uiPriority w:val="0"/>
    <w:pPr>
      <w:ind w:firstLine="420" w:firstLineChars="200"/>
    </w:pPr>
  </w:style>
  <w:style w:type="paragraph" w:customStyle="1" w:styleId="10">
    <w:name w:val="BodyTextIndent"/>
    <w:basedOn w:val="1"/>
    <w:qFormat/>
    <w:uiPriority w:val="0"/>
    <w:pPr>
      <w:spacing w:after="120"/>
      <w:ind w:left="420" w:leftChars="200"/>
    </w:pPr>
  </w:style>
  <w:style w:type="paragraph" w:customStyle="1" w:styleId="11">
    <w:name w:val="List Paragraph"/>
    <w:basedOn w:val="1"/>
    <w:unhideWhenUsed/>
    <w:qFormat/>
    <w:uiPriority w:val="99"/>
    <w:pPr>
      <w:ind w:firstLine="420" w:firstLineChars="200"/>
    </w:pPr>
  </w:style>
  <w:style w:type="paragraph" w:customStyle="1" w:styleId="12">
    <w:name w:val="Body text|1"/>
    <w:basedOn w:val="1"/>
    <w:qFormat/>
    <w:uiPriority w:val="0"/>
    <w:pPr>
      <w:widowControl w:val="0"/>
      <w:shd w:val="clear" w:color="auto" w:fill="auto"/>
      <w:spacing w:line="415"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2790</Words>
  <Characters>2836</Characters>
  <Lines>0</Lines>
  <Paragraphs>0</Paragraphs>
  <TotalTime>33</TotalTime>
  <ScaleCrop>false</ScaleCrop>
  <LinksUpToDate>false</LinksUpToDate>
  <CharactersWithSpaces>2881</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2014-11-03T12:08:00Z</dcterms:created>
  <dc:creator>Administrator</dc:creator>
  <cp:lastModifiedBy>Zhanew_</cp:lastModifiedBy>
  <cp:lastPrinted>2024-03-20T06:37:00Z</cp:lastPrinted>
  <dcterms:modified xsi:type="dcterms:W3CDTF">2024-04-01T06:05:27Z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562EF6E5AC9645AD95F70F837FAFB729</vt:lpwstr>
  </property>
</Properties>
</file>